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872" w:rsidRDefault="000A3872" w:rsidP="004E37F7">
      <w:pPr>
        <w:pStyle w:val="NoSpacing"/>
        <w:rPr>
          <w:rFonts w:cs="Arial"/>
          <w:b/>
          <w:szCs w:val="24"/>
        </w:rPr>
      </w:pPr>
      <w:bookmarkStart w:id="0" w:name="_GoBack"/>
      <w:bookmarkEnd w:id="0"/>
      <w:r w:rsidRPr="000A3872">
        <w:rPr>
          <w:rFonts w:cs="Arial"/>
          <w:b/>
          <w:noProof/>
          <w:szCs w:val="24"/>
          <w:lang w:eastAsia="en-GB"/>
        </w:rPr>
        <w:drawing>
          <wp:anchor distT="0" distB="0" distL="114300" distR="114300" simplePos="0" relativeHeight="251660288" behindDoc="0" locked="0" layoutInCell="1" allowOverlap="1">
            <wp:simplePos x="0" y="0"/>
            <wp:positionH relativeFrom="column">
              <wp:posOffset>-457200</wp:posOffset>
            </wp:positionH>
            <wp:positionV relativeFrom="paragraph">
              <wp:posOffset>-523875</wp:posOffset>
            </wp:positionV>
            <wp:extent cx="2219325" cy="742950"/>
            <wp:effectExtent l="19050" t="0" r="9525" b="0"/>
            <wp:wrapNone/>
            <wp:docPr id="7"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ep-logo.jpg"/>
                    <pic:cNvPicPr/>
                  </pic:nvPicPr>
                  <pic:blipFill>
                    <a:blip r:embed="rId8" cstate="print"/>
                    <a:stretch>
                      <a:fillRect/>
                    </a:stretch>
                  </pic:blipFill>
                  <pic:spPr>
                    <a:xfrm>
                      <a:off x="0" y="0"/>
                      <a:ext cx="2219325" cy="742950"/>
                    </a:xfrm>
                    <a:prstGeom prst="rect">
                      <a:avLst/>
                    </a:prstGeom>
                  </pic:spPr>
                </pic:pic>
              </a:graphicData>
            </a:graphic>
          </wp:anchor>
        </w:drawing>
      </w:r>
    </w:p>
    <w:p w:rsidR="000A3872" w:rsidRPr="00CD66E4" w:rsidRDefault="000A3872" w:rsidP="004E37F7">
      <w:pPr>
        <w:pStyle w:val="NoSpacing"/>
        <w:rPr>
          <w:rFonts w:cs="Arial"/>
          <w:szCs w:val="24"/>
        </w:rPr>
      </w:pPr>
    </w:p>
    <w:p w:rsidR="004E37F7" w:rsidRPr="0056377B" w:rsidRDefault="004E37F7" w:rsidP="004E37F7">
      <w:pPr>
        <w:pStyle w:val="NoSpacing"/>
        <w:rPr>
          <w:rFonts w:eastAsia="Times New Roman" w:cs="Arial"/>
          <w:b/>
          <w:bCs/>
          <w:szCs w:val="24"/>
        </w:rPr>
      </w:pPr>
      <w:r w:rsidRPr="0028420B">
        <w:rPr>
          <w:rFonts w:cs="Arial"/>
          <w:b/>
          <w:szCs w:val="24"/>
        </w:rPr>
        <w:t>Transport for Lancashire</w:t>
      </w:r>
      <w:r>
        <w:rPr>
          <w:rFonts w:cs="Arial"/>
          <w:b/>
          <w:szCs w:val="24"/>
        </w:rPr>
        <w:t xml:space="preserve"> Committee</w:t>
      </w:r>
    </w:p>
    <w:p w:rsidR="004E37F7" w:rsidRPr="00CD66E4" w:rsidRDefault="004E37F7" w:rsidP="004E37F7">
      <w:pPr>
        <w:pStyle w:val="NoSpacing"/>
        <w:rPr>
          <w:rFonts w:eastAsia="Times New Roman" w:cs="Arial"/>
          <w:bCs/>
          <w:szCs w:val="24"/>
        </w:rPr>
      </w:pPr>
    </w:p>
    <w:p w:rsidR="004E37F7" w:rsidRDefault="003E66E7" w:rsidP="004E37F7">
      <w:pPr>
        <w:pStyle w:val="NoSpacing"/>
        <w:rPr>
          <w:rFonts w:cs="Arial"/>
          <w:b/>
          <w:szCs w:val="24"/>
        </w:rPr>
      </w:pPr>
      <w:r>
        <w:rPr>
          <w:rFonts w:cs="Arial"/>
          <w:b/>
          <w:noProof/>
          <w:szCs w:val="24"/>
          <w:lang w:eastAsia="en-GB"/>
        </w:rPr>
        <w:pict>
          <v:shapetype id="_x0000_t202" coordsize="21600,21600" o:spt="202" path="m,l,21600r21600,l21600,xe">
            <v:stroke joinstyle="miter"/>
            <v:path gradientshapeok="t" o:connecttype="rect"/>
          </v:shapetype>
          <v:shape id="Text Box 2" o:spid="_x0000_s1026" type="#_x0000_t202" style="position:absolute;margin-left:-3.7pt;margin-top:21.1pt;width:446.9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">
            <v:textbox style="mso-fit-shape-to-text:t">
              <w:txbxContent>
                <w:p w:rsidR="00D771B5" w:rsidRDefault="005044E8" w:rsidP="00D771B5">
                  <w:pPr>
                    <w:pStyle w:val="NoSpacing"/>
                    <w:ind w:left="720" w:hanging="720"/>
                    <w:rPr>
                      <w:rFonts w:cs="Arial"/>
                      <w:b/>
                      <w:szCs w:val="24"/>
                    </w:rPr>
                  </w:pPr>
                  <w:r>
                    <w:rPr>
                      <w:rFonts w:cs="Arial"/>
                      <w:b/>
                      <w:szCs w:val="24"/>
                    </w:rPr>
                    <w:t>Lancashire Strategic Transport Prospectus</w:t>
                  </w:r>
                  <w:r w:rsidR="002839EE">
                    <w:rPr>
                      <w:rFonts w:cs="Arial"/>
                      <w:b/>
                      <w:szCs w:val="24"/>
                    </w:rPr>
                    <w:t xml:space="preserve"> </w:t>
                  </w:r>
                  <w:r w:rsidR="00D771B5">
                    <w:rPr>
                      <w:rFonts w:cs="Arial"/>
                      <w:b/>
                      <w:szCs w:val="24"/>
                    </w:rPr>
                    <w:t>and</w:t>
                  </w:r>
                </w:p>
                <w:p w:rsidR="003A1CFD" w:rsidRPr="001C41B4" w:rsidRDefault="00D771B5" w:rsidP="00211552">
                  <w:pPr>
                    <w:pStyle w:val="NoSpacing"/>
                    <w:ind w:left="720" w:hanging="720"/>
                    <w:rPr>
                      <w:rFonts w:cs="Arial"/>
                      <w:b/>
                      <w:szCs w:val="24"/>
                    </w:rPr>
                  </w:pPr>
                  <w:r>
                    <w:rPr>
                      <w:rFonts w:cs="Arial"/>
                      <w:b/>
                      <w:szCs w:val="24"/>
                    </w:rPr>
                    <w:t xml:space="preserve">Transport for the North </w:t>
                  </w:r>
                  <w:r w:rsidR="002839EE">
                    <w:rPr>
                      <w:rFonts w:cs="Arial"/>
                      <w:b/>
                      <w:szCs w:val="24"/>
                    </w:rPr>
                    <w:t>Update</w:t>
                  </w:r>
                </w:p>
              </w:txbxContent>
            </v:textbox>
            <w10:wrap type="square"/>
          </v:shape>
        </w:pict>
      </w:r>
      <w:r w:rsidR="002839EE">
        <w:rPr>
          <w:rFonts w:eastAsia="Times New Roman" w:cs="Arial"/>
          <w:b/>
          <w:bCs/>
          <w:szCs w:val="24"/>
        </w:rPr>
        <w:t>13</w:t>
      </w:r>
      <w:r w:rsidR="002839EE" w:rsidRPr="002839EE">
        <w:rPr>
          <w:rFonts w:eastAsia="Times New Roman" w:cs="Arial"/>
          <w:b/>
          <w:bCs/>
          <w:szCs w:val="24"/>
          <w:vertAlign w:val="superscript"/>
        </w:rPr>
        <w:t>th</w:t>
      </w:r>
      <w:r w:rsidR="002839EE">
        <w:rPr>
          <w:rFonts w:eastAsia="Times New Roman" w:cs="Arial"/>
          <w:b/>
          <w:bCs/>
          <w:szCs w:val="24"/>
        </w:rPr>
        <w:t xml:space="preserve"> April</w:t>
      </w:r>
      <w:r w:rsidR="005044E8">
        <w:rPr>
          <w:rFonts w:eastAsia="Times New Roman" w:cs="Arial"/>
          <w:b/>
          <w:bCs/>
          <w:szCs w:val="24"/>
        </w:rPr>
        <w:t xml:space="preserve"> </w:t>
      </w:r>
      <w:r w:rsidR="004E37F7">
        <w:rPr>
          <w:rFonts w:eastAsia="Times New Roman" w:cs="Arial"/>
          <w:b/>
          <w:bCs/>
          <w:szCs w:val="24"/>
        </w:rPr>
        <w:t>201</w:t>
      </w:r>
      <w:r w:rsidR="005044E8">
        <w:rPr>
          <w:rFonts w:eastAsia="Times New Roman" w:cs="Arial"/>
          <w:b/>
          <w:bCs/>
          <w:szCs w:val="24"/>
        </w:rPr>
        <w:t>5</w:t>
      </w:r>
    </w:p>
    <w:p w:rsidR="004E37F7" w:rsidRPr="00CD66E4" w:rsidRDefault="004E37F7" w:rsidP="004E37F7">
      <w:pPr>
        <w:pStyle w:val="NoSpacing"/>
        <w:rPr>
          <w:rFonts w:cs="Arial"/>
          <w:szCs w:val="24"/>
        </w:rPr>
      </w:pPr>
    </w:p>
    <w:p w:rsidR="004E37F7" w:rsidRPr="00FD1E7B" w:rsidRDefault="004E37F7" w:rsidP="004E37F7">
      <w:pPr>
        <w:pStyle w:val="NoSpacing"/>
        <w:rPr>
          <w:rFonts w:cs="Arial"/>
          <w:b/>
          <w:szCs w:val="24"/>
        </w:rPr>
      </w:pPr>
      <w:r>
        <w:rPr>
          <w:rFonts w:cs="Arial"/>
          <w:b/>
          <w:szCs w:val="24"/>
        </w:rPr>
        <w:t xml:space="preserve">Report Author: </w:t>
      </w:r>
      <w:r w:rsidR="00982D35">
        <w:rPr>
          <w:rFonts w:cs="Arial"/>
          <w:b/>
          <w:szCs w:val="24"/>
        </w:rPr>
        <w:t>Dave Colbert,</w:t>
      </w:r>
      <w:r w:rsidRPr="000338C5">
        <w:rPr>
          <w:rFonts w:cs="Arial"/>
          <w:b/>
          <w:szCs w:val="24"/>
        </w:rPr>
        <w:t xml:space="preserve"> </w:t>
      </w:r>
      <w:r w:rsidR="00982D35">
        <w:rPr>
          <w:rFonts w:cs="Arial"/>
          <w:b/>
          <w:szCs w:val="24"/>
        </w:rPr>
        <w:t>Specialist Advisor Transport</w:t>
      </w:r>
      <w:r w:rsidR="00536980">
        <w:rPr>
          <w:rFonts w:cs="Arial"/>
          <w:b/>
          <w:szCs w:val="24"/>
        </w:rPr>
        <w:t>ation</w:t>
      </w:r>
      <w:r w:rsidR="00982D35">
        <w:rPr>
          <w:rFonts w:cs="Arial"/>
          <w:b/>
          <w:szCs w:val="24"/>
        </w:rPr>
        <w:t xml:space="preserve">, </w:t>
      </w:r>
      <w:r w:rsidRPr="000338C5">
        <w:rPr>
          <w:rFonts w:cs="Arial"/>
          <w:b/>
          <w:szCs w:val="24"/>
        </w:rPr>
        <w:t>Lancashire County Council</w:t>
      </w:r>
    </w:p>
    <w:p w:rsidR="004E37F7" w:rsidRPr="007A33A4" w:rsidRDefault="004E37F7" w:rsidP="004E37F7">
      <w:pPr>
        <w:pStyle w:val="NoSpacing"/>
        <w:rPr>
          <w:rFonts w:cs="Arial"/>
          <w:szCs w:val="24"/>
        </w:rPr>
      </w:pPr>
    </w:p>
    <w:p w:rsidR="00AD5319" w:rsidRPr="00536980" w:rsidRDefault="00AD5319" w:rsidP="009A7DD6">
      <w:pPr>
        <w:pStyle w:val="NoSpacing"/>
        <w:rPr>
          <w:rFonts w:cs="Arial"/>
          <w:b/>
          <w:szCs w:val="24"/>
        </w:rPr>
      </w:pPr>
      <w:r w:rsidRPr="00536980">
        <w:rPr>
          <w:rFonts w:cs="Arial"/>
          <w:b/>
          <w:szCs w:val="24"/>
        </w:rPr>
        <w:t>Executive Summary</w:t>
      </w:r>
    </w:p>
    <w:p w:rsidR="00AD5319" w:rsidRPr="00536980" w:rsidRDefault="00AD5319" w:rsidP="00AD5319">
      <w:pPr>
        <w:pStyle w:val="NoSpacing"/>
        <w:rPr>
          <w:rFonts w:cs="Arial"/>
          <w:szCs w:val="24"/>
        </w:rPr>
      </w:pPr>
    </w:p>
    <w:p w:rsidR="00AA51C1" w:rsidRPr="00D771B5" w:rsidRDefault="00AA51C1" w:rsidP="00AD5319">
      <w:pPr>
        <w:pStyle w:val="NoSpacing"/>
      </w:pPr>
      <w:r w:rsidRPr="00D771B5">
        <w:t xml:space="preserve">This report updates the Committee with regard to </w:t>
      </w:r>
      <w:r w:rsidR="00D771B5" w:rsidRPr="00D771B5">
        <w:t xml:space="preserve">progress with the </w:t>
      </w:r>
      <w:r w:rsidRPr="00D771B5">
        <w:t>Lancashire Strategic Transport Prospectus and recent developments concerning Transport for the North and the publication on 20</w:t>
      </w:r>
      <w:r w:rsidRPr="00D771B5">
        <w:rPr>
          <w:vertAlign w:val="superscript"/>
        </w:rPr>
        <w:t>th</w:t>
      </w:r>
      <w:r w:rsidRPr="00D771B5">
        <w:t xml:space="preserve"> March 2015 of a report on the Northern Transport Strategy entitled 'The Northern Powerhouse: One Agenda, One Economy, One North'.</w:t>
      </w:r>
    </w:p>
    <w:p w:rsidR="00FD0DBF" w:rsidRPr="00D771B5" w:rsidRDefault="00FD0DBF" w:rsidP="00AD5319">
      <w:pPr>
        <w:pStyle w:val="NoSpacing"/>
      </w:pPr>
    </w:p>
    <w:p w:rsidR="0028420B" w:rsidRPr="00536980" w:rsidRDefault="0028420B" w:rsidP="0028420B">
      <w:pPr>
        <w:pStyle w:val="NoSpacing"/>
        <w:rPr>
          <w:b/>
        </w:rPr>
      </w:pPr>
      <w:r w:rsidRPr="00536980">
        <w:rPr>
          <w:b/>
        </w:rPr>
        <w:t>Recommendation</w:t>
      </w:r>
    </w:p>
    <w:p w:rsidR="0028420B" w:rsidRPr="00536980" w:rsidRDefault="0028420B" w:rsidP="00AD5319">
      <w:pPr>
        <w:pStyle w:val="NoSpacing"/>
        <w:rPr>
          <w:rFonts w:cs="Arial"/>
          <w:szCs w:val="24"/>
        </w:rPr>
      </w:pPr>
    </w:p>
    <w:p w:rsidR="00CD66E4" w:rsidRPr="00536980" w:rsidRDefault="000B4411" w:rsidP="00CD66E4">
      <w:pPr>
        <w:pStyle w:val="NoSpacing"/>
        <w:rPr>
          <w:rFonts w:cs="Arial"/>
          <w:szCs w:val="24"/>
        </w:rPr>
      </w:pPr>
      <w:r w:rsidRPr="00536980">
        <w:rPr>
          <w:rFonts w:cs="Arial"/>
          <w:szCs w:val="24"/>
        </w:rPr>
        <w:t xml:space="preserve">The Committee is </w:t>
      </w:r>
      <w:r w:rsidR="00CE7AB6" w:rsidRPr="00536980">
        <w:rPr>
          <w:rFonts w:cs="Arial"/>
          <w:szCs w:val="24"/>
        </w:rPr>
        <w:t xml:space="preserve">invited </w:t>
      </w:r>
      <w:r w:rsidRPr="00536980">
        <w:rPr>
          <w:rFonts w:cs="Arial"/>
          <w:szCs w:val="24"/>
        </w:rPr>
        <w:t>to</w:t>
      </w:r>
      <w:r w:rsidR="00AA51C1">
        <w:rPr>
          <w:rFonts w:cs="Arial"/>
          <w:szCs w:val="24"/>
        </w:rPr>
        <w:t xml:space="preserve"> n</w:t>
      </w:r>
      <w:r w:rsidR="00AA51C1" w:rsidRPr="00536980">
        <w:rPr>
          <w:rFonts w:cs="Arial"/>
          <w:szCs w:val="24"/>
        </w:rPr>
        <w:t>ote the contents of this report</w:t>
      </w:r>
      <w:r w:rsidR="00AA51C1">
        <w:rPr>
          <w:rFonts w:cs="Arial"/>
          <w:szCs w:val="24"/>
        </w:rPr>
        <w:t>.</w:t>
      </w:r>
    </w:p>
    <w:p w:rsidR="00CD66E4" w:rsidRPr="00536980" w:rsidRDefault="00CD66E4" w:rsidP="00CD66E4">
      <w:pPr>
        <w:pStyle w:val="NoSpacing"/>
        <w:rPr>
          <w:rFonts w:cs="Arial"/>
          <w:szCs w:val="24"/>
        </w:rPr>
      </w:pPr>
    </w:p>
    <w:p w:rsidR="00110B42" w:rsidRPr="00536980" w:rsidRDefault="00110B42" w:rsidP="00110B42">
      <w:pPr>
        <w:pStyle w:val="NoSpacing"/>
        <w:rPr>
          <w:rFonts w:cs="Arial"/>
          <w:szCs w:val="24"/>
        </w:rPr>
      </w:pPr>
    </w:p>
    <w:p w:rsidR="00AD5319" w:rsidRPr="00536980" w:rsidRDefault="00AD5319" w:rsidP="00654405">
      <w:pPr>
        <w:pStyle w:val="NoSpacing"/>
        <w:numPr>
          <w:ilvl w:val="0"/>
          <w:numId w:val="6"/>
        </w:numPr>
        <w:ind w:left="709" w:hanging="709"/>
        <w:rPr>
          <w:b/>
        </w:rPr>
      </w:pPr>
      <w:r w:rsidRPr="00536980">
        <w:rPr>
          <w:b/>
        </w:rPr>
        <w:t>Background</w:t>
      </w:r>
    </w:p>
    <w:p w:rsidR="00AD5319" w:rsidRPr="00536980" w:rsidRDefault="00AD5319" w:rsidP="00AD5319">
      <w:pPr>
        <w:pStyle w:val="NoSpacing"/>
      </w:pPr>
    </w:p>
    <w:p w:rsidR="00FE2462" w:rsidRDefault="00536980" w:rsidP="005044E8">
      <w:pPr>
        <w:pStyle w:val="NoSpacing"/>
        <w:numPr>
          <w:ilvl w:val="1"/>
          <w:numId w:val="29"/>
        </w:numPr>
        <w:rPr>
          <w:rFonts w:cs="Arial"/>
          <w:szCs w:val="24"/>
        </w:rPr>
      </w:pPr>
      <w:r w:rsidRPr="00536980">
        <w:rPr>
          <w:rFonts w:cs="Arial"/>
          <w:szCs w:val="24"/>
        </w:rPr>
        <w:t>At their last</w:t>
      </w:r>
      <w:r>
        <w:rPr>
          <w:rFonts w:cs="Arial"/>
          <w:szCs w:val="24"/>
        </w:rPr>
        <w:t xml:space="preserve"> meeting, the Committee considered a draft Lancashire Strategic Transport Prospectus and sample publicity leaflet setting out the highway and transport interventions necessary to enable Lancashire to fully play its part in the 'Northern Powerhouse'.  The Committee agreed the prospectus subject to a number of minor modifications and recommended it be submitted to the Lancashire Enterprise Partnership Board for approval.  </w:t>
      </w:r>
      <w:r w:rsidR="00FE2462">
        <w:rPr>
          <w:rFonts w:cs="Arial"/>
          <w:szCs w:val="24"/>
        </w:rPr>
        <w:t>At its meeting on 10</w:t>
      </w:r>
      <w:r w:rsidR="00FE2462" w:rsidRPr="00536980">
        <w:rPr>
          <w:rFonts w:cs="Arial"/>
          <w:szCs w:val="24"/>
          <w:vertAlign w:val="superscript"/>
        </w:rPr>
        <w:t>th</w:t>
      </w:r>
      <w:r w:rsidR="00FE2462">
        <w:rPr>
          <w:rFonts w:cs="Arial"/>
          <w:szCs w:val="24"/>
        </w:rPr>
        <w:t xml:space="preserve"> February 2015, t</w:t>
      </w:r>
      <w:r>
        <w:rPr>
          <w:rFonts w:cs="Arial"/>
          <w:szCs w:val="24"/>
        </w:rPr>
        <w:t xml:space="preserve">he Board subsequently </w:t>
      </w:r>
      <w:r w:rsidR="00FE2462">
        <w:rPr>
          <w:rFonts w:cs="Arial"/>
          <w:szCs w:val="24"/>
        </w:rPr>
        <w:t>approved in principle the approach adopted in preparing the Strategic Transport Prospectus and the priorities set out therein and authorised Transport for Lancashire to receive and sign-off a final draft at its next meeting on 13</w:t>
      </w:r>
      <w:r w:rsidR="00FE2462" w:rsidRPr="00FE2462">
        <w:rPr>
          <w:rFonts w:cs="Arial"/>
          <w:szCs w:val="24"/>
          <w:vertAlign w:val="superscript"/>
        </w:rPr>
        <w:t>th</w:t>
      </w:r>
      <w:r w:rsidR="00FE2462">
        <w:rPr>
          <w:rFonts w:cs="Arial"/>
          <w:szCs w:val="24"/>
        </w:rPr>
        <w:t xml:space="preserve"> April 2015.</w:t>
      </w:r>
    </w:p>
    <w:p w:rsidR="00536980" w:rsidRDefault="00536980" w:rsidP="00536980">
      <w:pPr>
        <w:pStyle w:val="NoSpacing"/>
        <w:ind w:left="708"/>
        <w:rPr>
          <w:rFonts w:cs="Arial"/>
          <w:szCs w:val="24"/>
        </w:rPr>
      </w:pPr>
    </w:p>
    <w:p w:rsidR="00FE2462" w:rsidRPr="00FE2462" w:rsidRDefault="00FE2462" w:rsidP="005044E8">
      <w:pPr>
        <w:pStyle w:val="NoSpacing"/>
        <w:numPr>
          <w:ilvl w:val="1"/>
          <w:numId w:val="29"/>
        </w:numPr>
        <w:rPr>
          <w:rFonts w:cs="Arial"/>
          <w:szCs w:val="24"/>
        </w:rPr>
      </w:pPr>
      <w:r w:rsidRPr="00FE2462">
        <w:t>The prospectus built on work already undertaken in developing the five area-based highways and transport masterplans and the Lancashire Strategic Economic Plan to set out a clear proposition to facilitate engagement with the various organisations Lancashire will need to influence if it is to benefit fully from the current momentum to significantly enhance connectivity across the North.  Its preparation would assist with influencing development of the government-led transport strategy for the North announced by the Chancellor of the Exchequer in October 2014, an interim report of which was due to be published in March 2015 with the full report scheduled for March 2016.</w:t>
      </w:r>
    </w:p>
    <w:p w:rsidR="00FE2462" w:rsidRPr="00FE2462" w:rsidRDefault="00FE2462" w:rsidP="00FE2462">
      <w:pPr>
        <w:pStyle w:val="NoSpacing"/>
        <w:ind w:left="708"/>
        <w:rPr>
          <w:rFonts w:cs="Arial"/>
          <w:szCs w:val="24"/>
        </w:rPr>
      </w:pPr>
    </w:p>
    <w:p w:rsidR="00A93C25" w:rsidRDefault="00FE2462" w:rsidP="005044E8">
      <w:pPr>
        <w:pStyle w:val="NoSpacing"/>
        <w:numPr>
          <w:ilvl w:val="1"/>
          <w:numId w:val="29"/>
        </w:numPr>
        <w:rPr>
          <w:rFonts w:cs="Arial"/>
          <w:szCs w:val="24"/>
        </w:rPr>
      </w:pPr>
      <w:r w:rsidRPr="00FE2462">
        <w:rPr>
          <w:rFonts w:cs="Arial"/>
          <w:szCs w:val="24"/>
        </w:rPr>
        <w:t>On 20</w:t>
      </w:r>
      <w:r w:rsidRPr="00FE2462">
        <w:rPr>
          <w:rFonts w:cs="Arial"/>
          <w:szCs w:val="24"/>
          <w:vertAlign w:val="superscript"/>
        </w:rPr>
        <w:t>th</w:t>
      </w:r>
      <w:r w:rsidRPr="00FE2462">
        <w:rPr>
          <w:rFonts w:cs="Arial"/>
          <w:szCs w:val="24"/>
        </w:rPr>
        <w:t xml:space="preserve"> March 2015, the Government published its interim report The Northern Powerhouse: One Agenda, One Economy, One North – A Report on </w:t>
      </w:r>
      <w:r w:rsidRPr="00FE2462">
        <w:rPr>
          <w:rFonts w:cs="Arial"/>
          <w:szCs w:val="24"/>
        </w:rPr>
        <w:lastRenderedPageBreak/>
        <w:t>the Northern Transport Strategy.</w:t>
      </w:r>
      <w:r>
        <w:rPr>
          <w:rFonts w:cs="Arial"/>
          <w:szCs w:val="24"/>
        </w:rPr>
        <w:t xml:space="preserve">  </w:t>
      </w:r>
      <w:r w:rsidR="00AA785A">
        <w:rPr>
          <w:rFonts w:cs="Arial"/>
          <w:szCs w:val="24"/>
        </w:rPr>
        <w:t>F</w:t>
      </w:r>
      <w:r>
        <w:rPr>
          <w:rFonts w:cs="Arial"/>
          <w:szCs w:val="24"/>
        </w:rPr>
        <w:t xml:space="preserve">rom a Lancashire perspective, </w:t>
      </w:r>
      <w:r w:rsidR="00AA785A">
        <w:rPr>
          <w:rFonts w:cs="Arial"/>
          <w:szCs w:val="24"/>
        </w:rPr>
        <w:t xml:space="preserve">unfortunately </w:t>
      </w:r>
      <w:r>
        <w:rPr>
          <w:rFonts w:cs="Arial"/>
          <w:szCs w:val="24"/>
        </w:rPr>
        <w:t xml:space="preserve">the report contains </w:t>
      </w:r>
      <w:r w:rsidR="00AA785A">
        <w:rPr>
          <w:rFonts w:cs="Arial"/>
          <w:szCs w:val="24"/>
        </w:rPr>
        <w:t>little additional material to the One North Proposition for an Interconnected North published in July last year.</w:t>
      </w:r>
      <w:r w:rsidR="0061410D">
        <w:rPr>
          <w:rFonts w:cs="Arial"/>
          <w:szCs w:val="24"/>
        </w:rPr>
        <w:t xml:space="preserve">  The focus </w:t>
      </w:r>
      <w:r w:rsidR="00A93C25">
        <w:rPr>
          <w:rFonts w:cs="Arial"/>
          <w:szCs w:val="24"/>
        </w:rPr>
        <w:t xml:space="preserve">again </w:t>
      </w:r>
      <w:r w:rsidR="0061410D">
        <w:rPr>
          <w:rFonts w:cs="Arial"/>
          <w:szCs w:val="24"/>
        </w:rPr>
        <w:t>is principally on the economies of the North's five city regions (Leeds, Liverpool, Manchester, Newcastle and Sheffield) and Hull and connectivity between them, set within the context of the Northern Powerhouse.</w:t>
      </w:r>
    </w:p>
    <w:p w:rsidR="00A93C25" w:rsidRPr="00A93C25" w:rsidRDefault="00A93C25" w:rsidP="00A93C25">
      <w:pPr>
        <w:pStyle w:val="ListParagraph"/>
        <w:rPr>
          <w:rFonts w:ascii="Arial" w:hAnsi="Arial" w:cs="Arial"/>
          <w:sz w:val="24"/>
          <w:szCs w:val="24"/>
        </w:rPr>
      </w:pPr>
    </w:p>
    <w:p w:rsidR="005044E8" w:rsidRDefault="00A93C25" w:rsidP="005044E8">
      <w:pPr>
        <w:pStyle w:val="NoSpacing"/>
        <w:numPr>
          <w:ilvl w:val="1"/>
          <w:numId w:val="29"/>
        </w:numPr>
        <w:rPr>
          <w:rFonts w:cs="Arial"/>
          <w:szCs w:val="24"/>
        </w:rPr>
      </w:pPr>
      <w:r>
        <w:rPr>
          <w:rFonts w:cs="Arial"/>
          <w:szCs w:val="24"/>
        </w:rPr>
        <w:t xml:space="preserve">Work is now underway to understand the implications </w:t>
      </w:r>
      <w:r w:rsidR="000D7547">
        <w:rPr>
          <w:rFonts w:cs="Arial"/>
          <w:szCs w:val="24"/>
        </w:rPr>
        <w:t>of the</w:t>
      </w:r>
      <w:r>
        <w:rPr>
          <w:rFonts w:cs="Arial"/>
          <w:szCs w:val="24"/>
        </w:rPr>
        <w:t xml:space="preserve"> </w:t>
      </w:r>
      <w:r w:rsidR="000D7547">
        <w:rPr>
          <w:rFonts w:cs="Arial"/>
          <w:szCs w:val="24"/>
        </w:rPr>
        <w:t xml:space="preserve">interim </w:t>
      </w:r>
      <w:r>
        <w:rPr>
          <w:rFonts w:cs="Arial"/>
          <w:szCs w:val="24"/>
        </w:rPr>
        <w:t xml:space="preserve">report for Lancashire and to update the Strategic Transport Prospectus accordingly.  In view of </w:t>
      </w:r>
      <w:r w:rsidR="000D7547">
        <w:rPr>
          <w:rFonts w:cs="Arial"/>
          <w:szCs w:val="24"/>
        </w:rPr>
        <w:t>its</w:t>
      </w:r>
      <w:r>
        <w:rPr>
          <w:rFonts w:cs="Arial"/>
          <w:szCs w:val="24"/>
        </w:rPr>
        <w:t xml:space="preserve"> later than anticipated publication, it has not </w:t>
      </w:r>
      <w:r w:rsidR="000D7547">
        <w:rPr>
          <w:rFonts w:cs="Arial"/>
          <w:szCs w:val="24"/>
        </w:rPr>
        <w:t>been possible to present an updated prospectus at this meeting; the intention is to do so for the next meeting on 5</w:t>
      </w:r>
      <w:r w:rsidR="000D7547" w:rsidRPr="000D7547">
        <w:rPr>
          <w:rFonts w:cs="Arial"/>
          <w:szCs w:val="24"/>
          <w:vertAlign w:val="superscript"/>
        </w:rPr>
        <w:t>th</w:t>
      </w:r>
      <w:r w:rsidR="000D7547">
        <w:rPr>
          <w:rFonts w:cs="Arial"/>
          <w:szCs w:val="24"/>
        </w:rPr>
        <w:t xml:space="preserve"> June 2015.</w:t>
      </w:r>
      <w:r w:rsidR="00B017F0">
        <w:rPr>
          <w:rFonts w:cs="Arial"/>
          <w:szCs w:val="24"/>
        </w:rPr>
        <w:t xml:space="preserve">  </w:t>
      </w:r>
      <w:r w:rsidR="005C38A5">
        <w:rPr>
          <w:rFonts w:cs="Arial"/>
          <w:szCs w:val="24"/>
        </w:rPr>
        <w:t xml:space="preserve">The update is about presentation rather than substance, in particular, a sharpening of the economic narrative at the front of the prospectus around why Lancashire </w:t>
      </w:r>
      <w:r w:rsidR="003600F8">
        <w:rPr>
          <w:rFonts w:cs="Arial"/>
          <w:szCs w:val="24"/>
        </w:rPr>
        <w:t xml:space="preserve">as a powerful economic sub-region in its own right </w:t>
      </w:r>
      <w:r w:rsidR="005C38A5">
        <w:rPr>
          <w:rFonts w:cs="Arial"/>
          <w:szCs w:val="24"/>
        </w:rPr>
        <w:t xml:space="preserve">is essential to the Northern Powerhouse and where our </w:t>
      </w:r>
      <w:r w:rsidR="003600F8">
        <w:rPr>
          <w:rFonts w:cs="Arial"/>
          <w:szCs w:val="24"/>
        </w:rPr>
        <w:t xml:space="preserve">relevant </w:t>
      </w:r>
      <w:r w:rsidR="005C38A5">
        <w:rPr>
          <w:rFonts w:cs="Arial"/>
          <w:szCs w:val="24"/>
        </w:rPr>
        <w:t>strengths, assets and opportunities lie.</w:t>
      </w:r>
      <w:r w:rsidR="00D771B5">
        <w:rPr>
          <w:rFonts w:cs="Arial"/>
          <w:szCs w:val="24"/>
        </w:rPr>
        <w:t xml:space="preserve">  However, it is clear that for Lancashire to make headway in the Northern Powerhouse debate, strategic transport priorities will need to be genuinely transformative and focused on supporting the North's economy.</w:t>
      </w:r>
    </w:p>
    <w:p w:rsidR="00BD7C30" w:rsidRPr="00BD7C30" w:rsidRDefault="00BD7C30" w:rsidP="00BD7C30">
      <w:pPr>
        <w:pStyle w:val="ListParagraph"/>
        <w:rPr>
          <w:rFonts w:ascii="Arial" w:hAnsi="Arial" w:cs="Arial"/>
          <w:sz w:val="24"/>
          <w:szCs w:val="24"/>
        </w:rPr>
      </w:pPr>
    </w:p>
    <w:p w:rsidR="00BD7C30" w:rsidRPr="00FE2462" w:rsidRDefault="00BD7C30" w:rsidP="005044E8">
      <w:pPr>
        <w:pStyle w:val="NoSpacing"/>
        <w:numPr>
          <w:ilvl w:val="1"/>
          <w:numId w:val="29"/>
        </w:numPr>
        <w:rPr>
          <w:rFonts w:cs="Arial"/>
          <w:szCs w:val="24"/>
        </w:rPr>
      </w:pPr>
      <w:r>
        <w:t>In addition to setting out plans for rail and the strategic road network, the interim report contains proposals around freight and logistics, including a commitment to produce a Northern multi-modal freight and logistics strategy over the next 12 months to inform future development of transport investment plans, integrated and smart travel, airports and local connectivity, with city regions identifying and developing city-level transport schemes in longer-term strategies that extend significantly beyond the 2021 horizons of Strategic economic Plans.  The Government will look to support essential local connections through future Growth Deals so that the mix of towns and cities within each city region are better connected.</w:t>
      </w:r>
    </w:p>
    <w:p w:rsidR="00C5484D" w:rsidRDefault="00C5484D" w:rsidP="00BD7C30">
      <w:pPr>
        <w:pStyle w:val="NoSpacing"/>
        <w:ind w:left="709"/>
      </w:pPr>
    </w:p>
    <w:p w:rsidR="00BD7C30" w:rsidRDefault="00E54401" w:rsidP="00BD7C30">
      <w:pPr>
        <w:pStyle w:val="NoSpacing"/>
        <w:numPr>
          <w:ilvl w:val="1"/>
          <w:numId w:val="29"/>
        </w:numPr>
      </w:pPr>
      <w:r>
        <w:t>The interim report also commits to enhance the governance of Transport for the North by autumn 2015 so that it can act as a genuine representative body for the whole of the North of England.  This will include appointment of an independent Chair of Transport for the North by autumn 2015 and the establishment of a Programme Office with the ability to develop strategic and investment planning, stakeholder and communications capabilities and to lead on cross-regional issues such as smart integrated multi-modal ticketing.</w:t>
      </w:r>
    </w:p>
    <w:p w:rsidR="00BD7C30" w:rsidRDefault="00BD7C30" w:rsidP="00BD7C30">
      <w:pPr>
        <w:pStyle w:val="NoSpacing"/>
        <w:ind w:left="708"/>
      </w:pPr>
    </w:p>
    <w:p w:rsidR="00C5484D" w:rsidRPr="00FE2462" w:rsidRDefault="00E54401" w:rsidP="00BD7C30">
      <w:pPr>
        <w:pStyle w:val="NoSpacing"/>
        <w:numPr>
          <w:ilvl w:val="1"/>
          <w:numId w:val="29"/>
        </w:numPr>
      </w:pPr>
      <w:r>
        <w:t xml:space="preserve">An update </w:t>
      </w:r>
      <w:r w:rsidR="002641BB">
        <w:t>of the Northern T</w:t>
      </w:r>
      <w:r>
        <w:t>ransport Strategy with clear and prioritised transport investment opportunities</w:t>
      </w:r>
      <w:r w:rsidR="00BD7C30">
        <w:t xml:space="preserve"> to support economic growth </w:t>
      </w:r>
      <w:r>
        <w:t xml:space="preserve">will be available in spring 2016 to inform national decision making for the next five year rail and road control periods covering </w:t>
      </w:r>
      <w:r w:rsidR="00BD7C30">
        <w:t xml:space="preserve">the financial years </w:t>
      </w:r>
      <w:r>
        <w:t>2019/20 to 2023/24.</w:t>
      </w:r>
      <w:r w:rsidR="00BD7C30">
        <w:t xml:space="preserve">  The proposed Programme Office will oversee the necessary work with a development budget of up to £12.5m to be secured for financial year 2015/16.</w:t>
      </w:r>
    </w:p>
    <w:p w:rsidR="008618A4" w:rsidRPr="002839EE" w:rsidRDefault="008618A4" w:rsidP="00062800">
      <w:pPr>
        <w:pStyle w:val="NoSpacing"/>
        <w:ind w:left="709" w:hanging="709"/>
        <w:rPr>
          <w:rFonts w:cs="Arial"/>
          <w:szCs w:val="24"/>
          <w:highlight w:val="yellow"/>
        </w:rPr>
      </w:pPr>
    </w:p>
    <w:sectPr w:rsidR="008618A4" w:rsidRPr="002839EE" w:rsidSect="002D3780">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CFD" w:rsidRDefault="003A1CFD" w:rsidP="00802D4F">
      <w:r>
        <w:separator/>
      </w:r>
    </w:p>
  </w:endnote>
  <w:endnote w:type="continuationSeparator" w:id="0">
    <w:p w:rsidR="003A1CFD" w:rsidRDefault="003A1CFD" w:rsidP="0080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CFD" w:rsidRDefault="003A1CFD" w:rsidP="00802D4F">
      <w:r>
        <w:separator/>
      </w:r>
    </w:p>
  </w:footnote>
  <w:footnote w:type="continuationSeparator" w:id="0">
    <w:p w:rsidR="003A1CFD" w:rsidRDefault="003A1CFD" w:rsidP="00802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CFD" w:rsidRDefault="003A1C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CFD" w:rsidRDefault="003A1C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CFD" w:rsidRDefault="003A1C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EA7CDDB"/>
    <w:multiLevelType w:val="hybridMultilevel"/>
    <w:tmpl w:val="25EBFD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DF10F6"/>
    <w:multiLevelType w:val="hybridMultilevel"/>
    <w:tmpl w:val="5BF2E7F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783236"/>
    <w:multiLevelType w:val="hybridMultilevel"/>
    <w:tmpl w:val="FF9A83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7E0CBF"/>
    <w:multiLevelType w:val="hybridMultilevel"/>
    <w:tmpl w:val="47E45BF4"/>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5D532E"/>
    <w:multiLevelType w:val="hybridMultilevel"/>
    <w:tmpl w:val="AE407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C9C644A"/>
    <w:multiLevelType w:val="hybridMultilevel"/>
    <w:tmpl w:val="47E6956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7019E5"/>
    <w:multiLevelType w:val="hybridMultilevel"/>
    <w:tmpl w:val="3A52C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53A07DC"/>
    <w:multiLevelType w:val="hybridMultilevel"/>
    <w:tmpl w:val="6B10A0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F2F776A"/>
    <w:multiLevelType w:val="hybridMultilevel"/>
    <w:tmpl w:val="E794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590D06"/>
    <w:multiLevelType w:val="hybridMultilevel"/>
    <w:tmpl w:val="42AC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BE0044"/>
    <w:multiLevelType w:val="hybridMultilevel"/>
    <w:tmpl w:val="A2540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7866B72"/>
    <w:multiLevelType w:val="hybridMultilevel"/>
    <w:tmpl w:val="AA202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20629A"/>
    <w:multiLevelType w:val="hybridMultilevel"/>
    <w:tmpl w:val="E0909BD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ACF007B"/>
    <w:multiLevelType w:val="hybridMultilevel"/>
    <w:tmpl w:val="32EAB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CD257F"/>
    <w:multiLevelType w:val="multilevel"/>
    <w:tmpl w:val="74B013B2"/>
    <w:lvl w:ilvl="0">
      <w:start w:val="1"/>
      <w:numFmt w:val="decimal"/>
      <w:lvlText w:val="%1"/>
      <w:lvlJc w:val="left"/>
      <w:pPr>
        <w:ind w:left="708" w:hanging="708"/>
      </w:pPr>
      <w:rPr>
        <w:rFonts w:cstheme="minorBidi" w:hint="default"/>
      </w:rPr>
    </w:lvl>
    <w:lvl w:ilvl="1">
      <w:start w:val="1"/>
      <w:numFmt w:val="decimal"/>
      <w:lvlText w:val="%1.%2"/>
      <w:lvlJc w:val="left"/>
      <w:pPr>
        <w:ind w:left="708" w:hanging="708"/>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15">
    <w:nsid w:val="310B3636"/>
    <w:multiLevelType w:val="hybridMultilevel"/>
    <w:tmpl w:val="E2625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B00133"/>
    <w:multiLevelType w:val="hybridMultilevel"/>
    <w:tmpl w:val="62FCC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071968"/>
    <w:multiLevelType w:val="hybridMultilevel"/>
    <w:tmpl w:val="865E6B3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7E6929"/>
    <w:multiLevelType w:val="multilevel"/>
    <w:tmpl w:val="6E40208A"/>
    <w:lvl w:ilvl="0">
      <w:start w:val="1"/>
      <w:numFmt w:val="decimal"/>
      <w:lvlText w:val="%1."/>
      <w:lvlJc w:val="left"/>
      <w:pPr>
        <w:ind w:left="720" w:hanging="360"/>
      </w:pPr>
      <w:rPr>
        <w:rFonts w:hint="default"/>
      </w:rPr>
    </w:lvl>
    <w:lvl w:ilvl="1">
      <w:start w:val="1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9">
    <w:nsid w:val="39A525B6"/>
    <w:multiLevelType w:val="hybridMultilevel"/>
    <w:tmpl w:val="5BF2E7F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196127"/>
    <w:multiLevelType w:val="hybridMultilevel"/>
    <w:tmpl w:val="865E6B3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EC140B0"/>
    <w:multiLevelType w:val="hybridMultilevel"/>
    <w:tmpl w:val="11344E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17F6065"/>
    <w:multiLevelType w:val="hybridMultilevel"/>
    <w:tmpl w:val="B7D62B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53B3925"/>
    <w:multiLevelType w:val="hybridMultilevel"/>
    <w:tmpl w:val="CE705C9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9720E8"/>
    <w:multiLevelType w:val="hybridMultilevel"/>
    <w:tmpl w:val="20920C4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EB4637C"/>
    <w:multiLevelType w:val="hybridMultilevel"/>
    <w:tmpl w:val="CBB2EF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nsid w:val="73874222"/>
    <w:multiLevelType w:val="multilevel"/>
    <w:tmpl w:val="69FA34B2"/>
    <w:lvl w:ilvl="0">
      <w:start w:val="1"/>
      <w:numFmt w:val="decimal"/>
      <w:lvlText w:val="%1."/>
      <w:lvlJc w:val="left"/>
      <w:pPr>
        <w:ind w:left="720" w:hanging="360"/>
      </w:pPr>
      <w:rPr>
        <w:rFonts w:hint="default"/>
      </w:rPr>
    </w:lvl>
    <w:lvl w:ilvl="1">
      <w:start w:val="1"/>
      <w:numFmt w:val="decimal"/>
      <w:isLgl/>
      <w:lvlText w:val="%1.%2"/>
      <w:lvlJc w:val="left"/>
      <w:pPr>
        <w:ind w:left="532"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77431471"/>
    <w:multiLevelType w:val="hybridMultilevel"/>
    <w:tmpl w:val="47E6956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843695"/>
    <w:multiLevelType w:val="hybridMultilevel"/>
    <w:tmpl w:val="70502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12"/>
  </w:num>
  <w:num w:numId="4">
    <w:abstractNumId w:val="15"/>
  </w:num>
  <w:num w:numId="5">
    <w:abstractNumId w:val="24"/>
  </w:num>
  <w:num w:numId="6">
    <w:abstractNumId w:val="18"/>
  </w:num>
  <w:num w:numId="7">
    <w:abstractNumId w:val="21"/>
  </w:num>
  <w:num w:numId="8">
    <w:abstractNumId w:val="27"/>
  </w:num>
  <w:num w:numId="9">
    <w:abstractNumId w:val="5"/>
  </w:num>
  <w:num w:numId="10">
    <w:abstractNumId w:val="1"/>
  </w:num>
  <w:num w:numId="11">
    <w:abstractNumId w:val="19"/>
  </w:num>
  <w:num w:numId="12">
    <w:abstractNumId w:val="20"/>
  </w:num>
  <w:num w:numId="13">
    <w:abstractNumId w:val="17"/>
  </w:num>
  <w:num w:numId="14">
    <w:abstractNumId w:val="13"/>
  </w:num>
  <w:num w:numId="15">
    <w:abstractNumId w:val="7"/>
  </w:num>
  <w:num w:numId="16">
    <w:abstractNumId w:val="11"/>
  </w:num>
  <w:num w:numId="17">
    <w:abstractNumId w:val="23"/>
  </w:num>
  <w:num w:numId="18">
    <w:abstractNumId w:val="22"/>
  </w:num>
  <w:num w:numId="19">
    <w:abstractNumId w:val="2"/>
  </w:num>
  <w:num w:numId="20">
    <w:abstractNumId w:val="16"/>
  </w:num>
  <w:num w:numId="21">
    <w:abstractNumId w:val="3"/>
  </w:num>
  <w:num w:numId="22">
    <w:abstractNumId w:val="28"/>
  </w:num>
  <w:num w:numId="23">
    <w:abstractNumId w:val="8"/>
  </w:num>
  <w:num w:numId="24">
    <w:abstractNumId w:val="25"/>
  </w:num>
  <w:num w:numId="25">
    <w:abstractNumId w:val="10"/>
  </w:num>
  <w:num w:numId="26">
    <w:abstractNumId w:val="6"/>
  </w:num>
  <w:num w:numId="27">
    <w:abstractNumId w:val="9"/>
  </w:num>
  <w:num w:numId="28">
    <w:abstractNumId w:val="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72"/>
  </w:hdrShapeDefaults>
  <w:footnotePr>
    <w:footnote w:id="-1"/>
    <w:footnote w:id="0"/>
  </w:footnotePr>
  <w:endnotePr>
    <w:endnote w:id="-1"/>
    <w:endnote w:id="0"/>
  </w:endnotePr>
  <w:compat>
    <w:compatSetting w:name="compatibilityMode" w:uri="http://schemas.microsoft.com/office/word" w:val="12"/>
  </w:compat>
  <w:rsids>
    <w:rsidRoot w:val="00AD5319"/>
    <w:rsid w:val="0001582E"/>
    <w:rsid w:val="0003564D"/>
    <w:rsid w:val="00046262"/>
    <w:rsid w:val="0005057E"/>
    <w:rsid w:val="00056736"/>
    <w:rsid w:val="00057C28"/>
    <w:rsid w:val="00062800"/>
    <w:rsid w:val="00080CB3"/>
    <w:rsid w:val="00084BE1"/>
    <w:rsid w:val="000923DF"/>
    <w:rsid w:val="000A3872"/>
    <w:rsid w:val="000B3B7B"/>
    <w:rsid w:val="000B4411"/>
    <w:rsid w:val="000C2BE3"/>
    <w:rsid w:val="000D0BE7"/>
    <w:rsid w:val="000D411E"/>
    <w:rsid w:val="000D43B7"/>
    <w:rsid w:val="000D7272"/>
    <w:rsid w:val="000D7547"/>
    <w:rsid w:val="00106727"/>
    <w:rsid w:val="00107538"/>
    <w:rsid w:val="00110B42"/>
    <w:rsid w:val="001116C7"/>
    <w:rsid w:val="0011224B"/>
    <w:rsid w:val="001420D4"/>
    <w:rsid w:val="00145151"/>
    <w:rsid w:val="00156BAE"/>
    <w:rsid w:val="00157873"/>
    <w:rsid w:val="00167174"/>
    <w:rsid w:val="00182807"/>
    <w:rsid w:val="0019358A"/>
    <w:rsid w:val="00195C39"/>
    <w:rsid w:val="001C1F97"/>
    <w:rsid w:val="001C41B4"/>
    <w:rsid w:val="001D0A9D"/>
    <w:rsid w:val="00206AA9"/>
    <w:rsid w:val="002078B3"/>
    <w:rsid w:val="00211552"/>
    <w:rsid w:val="00220CDE"/>
    <w:rsid w:val="00262F42"/>
    <w:rsid w:val="002641BB"/>
    <w:rsid w:val="0026469B"/>
    <w:rsid w:val="00267E86"/>
    <w:rsid w:val="00283326"/>
    <w:rsid w:val="002839EE"/>
    <w:rsid w:val="0028420B"/>
    <w:rsid w:val="002A7B6E"/>
    <w:rsid w:val="002B63E8"/>
    <w:rsid w:val="002C6B50"/>
    <w:rsid w:val="002D2009"/>
    <w:rsid w:val="002D3780"/>
    <w:rsid w:val="002E0641"/>
    <w:rsid w:val="002E42F0"/>
    <w:rsid w:val="002F52A8"/>
    <w:rsid w:val="002F7FB5"/>
    <w:rsid w:val="00317F71"/>
    <w:rsid w:val="003277DF"/>
    <w:rsid w:val="00333B0A"/>
    <w:rsid w:val="00351200"/>
    <w:rsid w:val="00354245"/>
    <w:rsid w:val="003600F8"/>
    <w:rsid w:val="003721B5"/>
    <w:rsid w:val="00381A1A"/>
    <w:rsid w:val="003A11B3"/>
    <w:rsid w:val="003A1CFD"/>
    <w:rsid w:val="003B0E46"/>
    <w:rsid w:val="003C5412"/>
    <w:rsid w:val="003D0130"/>
    <w:rsid w:val="003D35E7"/>
    <w:rsid w:val="003E66E7"/>
    <w:rsid w:val="003F29BE"/>
    <w:rsid w:val="00422E3C"/>
    <w:rsid w:val="004245B6"/>
    <w:rsid w:val="00430015"/>
    <w:rsid w:val="00430F50"/>
    <w:rsid w:val="00436206"/>
    <w:rsid w:val="004628B9"/>
    <w:rsid w:val="00481CD1"/>
    <w:rsid w:val="00492D1B"/>
    <w:rsid w:val="004930E4"/>
    <w:rsid w:val="004936A8"/>
    <w:rsid w:val="004A1B80"/>
    <w:rsid w:val="004A6994"/>
    <w:rsid w:val="004B1ADC"/>
    <w:rsid w:val="004C24F2"/>
    <w:rsid w:val="004E37F7"/>
    <w:rsid w:val="005044E8"/>
    <w:rsid w:val="00512529"/>
    <w:rsid w:val="005148AB"/>
    <w:rsid w:val="00517C88"/>
    <w:rsid w:val="00521358"/>
    <w:rsid w:val="00521761"/>
    <w:rsid w:val="00523855"/>
    <w:rsid w:val="00536980"/>
    <w:rsid w:val="005521C3"/>
    <w:rsid w:val="00553FE2"/>
    <w:rsid w:val="00554922"/>
    <w:rsid w:val="005604DD"/>
    <w:rsid w:val="00565A76"/>
    <w:rsid w:val="00571E88"/>
    <w:rsid w:val="00582ABD"/>
    <w:rsid w:val="005842A0"/>
    <w:rsid w:val="005859D2"/>
    <w:rsid w:val="005A1703"/>
    <w:rsid w:val="005A6E45"/>
    <w:rsid w:val="005B1BD6"/>
    <w:rsid w:val="005B2ED5"/>
    <w:rsid w:val="005C38A5"/>
    <w:rsid w:val="005C619E"/>
    <w:rsid w:val="005C76CC"/>
    <w:rsid w:val="005E477E"/>
    <w:rsid w:val="0061410D"/>
    <w:rsid w:val="006300C0"/>
    <w:rsid w:val="006355B9"/>
    <w:rsid w:val="006436C0"/>
    <w:rsid w:val="006440F4"/>
    <w:rsid w:val="00654405"/>
    <w:rsid w:val="00657634"/>
    <w:rsid w:val="00662C29"/>
    <w:rsid w:val="0067539F"/>
    <w:rsid w:val="00680F31"/>
    <w:rsid w:val="006A1985"/>
    <w:rsid w:val="006A7900"/>
    <w:rsid w:val="006B4A2F"/>
    <w:rsid w:val="006C06BE"/>
    <w:rsid w:val="006C7E1A"/>
    <w:rsid w:val="006D1520"/>
    <w:rsid w:val="006F3D67"/>
    <w:rsid w:val="0072663C"/>
    <w:rsid w:val="00734A7E"/>
    <w:rsid w:val="00762AB9"/>
    <w:rsid w:val="00763C1A"/>
    <w:rsid w:val="00767E1B"/>
    <w:rsid w:val="0077490B"/>
    <w:rsid w:val="00790485"/>
    <w:rsid w:val="00790A1F"/>
    <w:rsid w:val="007A33A4"/>
    <w:rsid w:val="007A52A8"/>
    <w:rsid w:val="007B7142"/>
    <w:rsid w:val="007C443B"/>
    <w:rsid w:val="007C5C32"/>
    <w:rsid w:val="007D6816"/>
    <w:rsid w:val="007E7E40"/>
    <w:rsid w:val="007F629C"/>
    <w:rsid w:val="00802D4F"/>
    <w:rsid w:val="008070E4"/>
    <w:rsid w:val="008323D3"/>
    <w:rsid w:val="00841D60"/>
    <w:rsid w:val="00844638"/>
    <w:rsid w:val="008518EE"/>
    <w:rsid w:val="00852A34"/>
    <w:rsid w:val="00855A4E"/>
    <w:rsid w:val="008618A4"/>
    <w:rsid w:val="008707D8"/>
    <w:rsid w:val="00874E1B"/>
    <w:rsid w:val="008750BE"/>
    <w:rsid w:val="00890FF9"/>
    <w:rsid w:val="008A2085"/>
    <w:rsid w:val="008A2587"/>
    <w:rsid w:val="008A7C72"/>
    <w:rsid w:val="008B1A65"/>
    <w:rsid w:val="008B2163"/>
    <w:rsid w:val="008C2B04"/>
    <w:rsid w:val="008D0CD9"/>
    <w:rsid w:val="008F2BAB"/>
    <w:rsid w:val="00904173"/>
    <w:rsid w:val="009136EE"/>
    <w:rsid w:val="0091393F"/>
    <w:rsid w:val="00916310"/>
    <w:rsid w:val="00936253"/>
    <w:rsid w:val="009401C9"/>
    <w:rsid w:val="0094068F"/>
    <w:rsid w:val="00971B18"/>
    <w:rsid w:val="00981975"/>
    <w:rsid w:val="00982D35"/>
    <w:rsid w:val="009857C1"/>
    <w:rsid w:val="009A68E3"/>
    <w:rsid w:val="009A7DD6"/>
    <w:rsid w:val="009B566E"/>
    <w:rsid w:val="009C2643"/>
    <w:rsid w:val="009C495C"/>
    <w:rsid w:val="009D5F3D"/>
    <w:rsid w:val="009F07F0"/>
    <w:rsid w:val="00A02D7D"/>
    <w:rsid w:val="00A179BC"/>
    <w:rsid w:val="00A17A09"/>
    <w:rsid w:val="00A24F34"/>
    <w:rsid w:val="00A46726"/>
    <w:rsid w:val="00A46984"/>
    <w:rsid w:val="00A574D8"/>
    <w:rsid w:val="00A64C42"/>
    <w:rsid w:val="00A93C25"/>
    <w:rsid w:val="00AA00AD"/>
    <w:rsid w:val="00AA232B"/>
    <w:rsid w:val="00AA51C1"/>
    <w:rsid w:val="00AA785A"/>
    <w:rsid w:val="00AB2690"/>
    <w:rsid w:val="00AC68E5"/>
    <w:rsid w:val="00AD2616"/>
    <w:rsid w:val="00AD267F"/>
    <w:rsid w:val="00AD5319"/>
    <w:rsid w:val="00AE2292"/>
    <w:rsid w:val="00AE2E93"/>
    <w:rsid w:val="00AE64E1"/>
    <w:rsid w:val="00B017F0"/>
    <w:rsid w:val="00B03892"/>
    <w:rsid w:val="00B36FC5"/>
    <w:rsid w:val="00B42D8E"/>
    <w:rsid w:val="00B43A6F"/>
    <w:rsid w:val="00B4536C"/>
    <w:rsid w:val="00B607FF"/>
    <w:rsid w:val="00B65E03"/>
    <w:rsid w:val="00B66BBD"/>
    <w:rsid w:val="00B73B11"/>
    <w:rsid w:val="00B85159"/>
    <w:rsid w:val="00BA43DE"/>
    <w:rsid w:val="00BB06AE"/>
    <w:rsid w:val="00BC0904"/>
    <w:rsid w:val="00BD7C30"/>
    <w:rsid w:val="00BD7DF4"/>
    <w:rsid w:val="00BF14D9"/>
    <w:rsid w:val="00BF180E"/>
    <w:rsid w:val="00BF3A9A"/>
    <w:rsid w:val="00C13AC5"/>
    <w:rsid w:val="00C27368"/>
    <w:rsid w:val="00C33160"/>
    <w:rsid w:val="00C34A4B"/>
    <w:rsid w:val="00C45A4B"/>
    <w:rsid w:val="00C5484D"/>
    <w:rsid w:val="00C57E56"/>
    <w:rsid w:val="00C63E05"/>
    <w:rsid w:val="00C76E83"/>
    <w:rsid w:val="00C83444"/>
    <w:rsid w:val="00C909CB"/>
    <w:rsid w:val="00C912FB"/>
    <w:rsid w:val="00C92722"/>
    <w:rsid w:val="00C950B3"/>
    <w:rsid w:val="00CB52C2"/>
    <w:rsid w:val="00CD20B3"/>
    <w:rsid w:val="00CD66E4"/>
    <w:rsid w:val="00CD6D88"/>
    <w:rsid w:val="00CE1151"/>
    <w:rsid w:val="00CE7AB6"/>
    <w:rsid w:val="00CF50E3"/>
    <w:rsid w:val="00CF70A8"/>
    <w:rsid w:val="00D00CC4"/>
    <w:rsid w:val="00D05353"/>
    <w:rsid w:val="00D40615"/>
    <w:rsid w:val="00D43F1B"/>
    <w:rsid w:val="00D460C2"/>
    <w:rsid w:val="00D537B7"/>
    <w:rsid w:val="00D61D5D"/>
    <w:rsid w:val="00D74F91"/>
    <w:rsid w:val="00D771B5"/>
    <w:rsid w:val="00D83FE4"/>
    <w:rsid w:val="00D9011F"/>
    <w:rsid w:val="00D93B08"/>
    <w:rsid w:val="00DC1701"/>
    <w:rsid w:val="00DD4335"/>
    <w:rsid w:val="00DD44B2"/>
    <w:rsid w:val="00DD7F7D"/>
    <w:rsid w:val="00DE3E7C"/>
    <w:rsid w:val="00DE5056"/>
    <w:rsid w:val="00E13295"/>
    <w:rsid w:val="00E21E67"/>
    <w:rsid w:val="00E30928"/>
    <w:rsid w:val="00E35206"/>
    <w:rsid w:val="00E54401"/>
    <w:rsid w:val="00E67042"/>
    <w:rsid w:val="00E81B6E"/>
    <w:rsid w:val="00E956BB"/>
    <w:rsid w:val="00EC3445"/>
    <w:rsid w:val="00EC5703"/>
    <w:rsid w:val="00EE0707"/>
    <w:rsid w:val="00F11569"/>
    <w:rsid w:val="00F36483"/>
    <w:rsid w:val="00F406FD"/>
    <w:rsid w:val="00F461A8"/>
    <w:rsid w:val="00F61923"/>
    <w:rsid w:val="00F7245E"/>
    <w:rsid w:val="00F81694"/>
    <w:rsid w:val="00F85A92"/>
    <w:rsid w:val="00F87644"/>
    <w:rsid w:val="00F87D2E"/>
    <w:rsid w:val="00F91985"/>
    <w:rsid w:val="00FA2116"/>
    <w:rsid w:val="00FA5711"/>
    <w:rsid w:val="00FB58F4"/>
    <w:rsid w:val="00FC1685"/>
    <w:rsid w:val="00FD0DBF"/>
    <w:rsid w:val="00FD3638"/>
    <w:rsid w:val="00FE2462"/>
    <w:rsid w:val="00FE6DF0"/>
    <w:rsid w:val="00FF6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2"/>
    <o:shapelayout v:ext="edit">
      <o:idmap v:ext="edit" data="1"/>
    </o:shapelayout>
  </w:shapeDefaults>
  <w:decimalSymbol w:val="."/>
  <w:listSeparator w:val=","/>
  <w15:docId w15:val="{A40AFDEA-E52C-4CB1-918F-18DCF24D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57E"/>
    <w:pPr>
      <w:spacing w:after="0"/>
    </w:pPr>
    <w:rPr>
      <w:rFonts w:ascii="Calibri"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319"/>
    <w:pPr>
      <w:spacing w:after="0"/>
    </w:pPr>
  </w:style>
  <w:style w:type="paragraph" w:styleId="ListParagraph">
    <w:name w:val="List Paragraph"/>
    <w:basedOn w:val="Normal"/>
    <w:uiPriority w:val="34"/>
    <w:qFormat/>
    <w:rsid w:val="00AD5319"/>
    <w:pPr>
      <w:ind w:left="720"/>
      <w:contextualSpacing/>
    </w:pPr>
    <w:rPr>
      <w:rFonts w:eastAsia="Times New Roman" w:cs="Calibri"/>
      <w:sz w:val="20"/>
      <w:szCs w:val="20"/>
    </w:rPr>
  </w:style>
  <w:style w:type="paragraph" w:customStyle="1" w:styleId="Default">
    <w:name w:val="Default"/>
    <w:rsid w:val="008C2B04"/>
    <w:pPr>
      <w:autoSpaceDE w:val="0"/>
      <w:autoSpaceDN w:val="0"/>
      <w:adjustRightInd w:val="0"/>
      <w:spacing w:after="0"/>
    </w:pPr>
    <w:rPr>
      <w:rFonts w:cs="Arial"/>
      <w:color w:val="000000"/>
      <w:szCs w:val="24"/>
    </w:rPr>
  </w:style>
  <w:style w:type="table" w:styleId="TableGrid">
    <w:name w:val="Table Grid"/>
    <w:basedOn w:val="TableNormal"/>
    <w:uiPriority w:val="59"/>
    <w:rsid w:val="003B0E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02D4F"/>
    <w:pPr>
      <w:tabs>
        <w:tab w:val="center" w:pos="4513"/>
        <w:tab w:val="right" w:pos="9026"/>
      </w:tabs>
    </w:pPr>
  </w:style>
  <w:style w:type="character" w:customStyle="1" w:styleId="HeaderChar">
    <w:name w:val="Header Char"/>
    <w:basedOn w:val="DefaultParagraphFont"/>
    <w:link w:val="Header"/>
    <w:uiPriority w:val="99"/>
    <w:rsid w:val="00802D4F"/>
    <w:rPr>
      <w:rFonts w:ascii="Calibri" w:hAnsi="Calibri" w:cs="Times New Roman"/>
      <w:sz w:val="22"/>
      <w:lang w:eastAsia="en-GB"/>
    </w:rPr>
  </w:style>
  <w:style w:type="paragraph" w:styleId="Footer">
    <w:name w:val="footer"/>
    <w:basedOn w:val="Normal"/>
    <w:link w:val="FooterChar"/>
    <w:uiPriority w:val="99"/>
    <w:semiHidden/>
    <w:unhideWhenUsed/>
    <w:rsid w:val="00802D4F"/>
    <w:pPr>
      <w:tabs>
        <w:tab w:val="center" w:pos="4513"/>
        <w:tab w:val="right" w:pos="9026"/>
      </w:tabs>
    </w:pPr>
  </w:style>
  <w:style w:type="character" w:customStyle="1" w:styleId="FooterChar">
    <w:name w:val="Footer Char"/>
    <w:basedOn w:val="DefaultParagraphFont"/>
    <w:link w:val="Footer"/>
    <w:uiPriority w:val="99"/>
    <w:semiHidden/>
    <w:rsid w:val="00802D4F"/>
    <w:rPr>
      <w:rFonts w:ascii="Calibri" w:hAnsi="Calibri" w:cs="Times New Roman"/>
      <w:sz w:val="22"/>
      <w:lang w:eastAsia="en-GB"/>
    </w:rPr>
  </w:style>
  <w:style w:type="character" w:customStyle="1" w:styleId="mrquestiontext">
    <w:name w:val="mrquestiontext"/>
    <w:basedOn w:val="DefaultParagraphFont"/>
    <w:uiPriority w:val="99"/>
    <w:rsid w:val="00D74F91"/>
  </w:style>
  <w:style w:type="character" w:styleId="FootnoteReference">
    <w:name w:val="footnote reference"/>
    <w:basedOn w:val="DefaultParagraphFont"/>
    <w:uiPriority w:val="99"/>
    <w:semiHidden/>
    <w:unhideWhenUsed/>
    <w:rsid w:val="00106727"/>
    <w:rPr>
      <w:vertAlign w:val="superscript"/>
    </w:rPr>
  </w:style>
  <w:style w:type="paragraph" w:styleId="FootnoteText">
    <w:name w:val="footnote text"/>
    <w:basedOn w:val="Normal"/>
    <w:link w:val="FootnoteTextChar"/>
    <w:uiPriority w:val="99"/>
    <w:semiHidden/>
    <w:unhideWhenUsed/>
    <w:rsid w:val="006C06BE"/>
    <w:rPr>
      <w:sz w:val="20"/>
      <w:szCs w:val="20"/>
    </w:rPr>
  </w:style>
  <w:style w:type="character" w:customStyle="1" w:styleId="FootnoteTextChar">
    <w:name w:val="Footnote Text Char"/>
    <w:basedOn w:val="DefaultParagraphFont"/>
    <w:link w:val="FootnoteText"/>
    <w:uiPriority w:val="99"/>
    <w:semiHidden/>
    <w:rsid w:val="006C06BE"/>
    <w:rPr>
      <w:rFonts w:ascii="Calibri" w:hAnsi="Calibri"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28736">
      <w:bodyDiv w:val="1"/>
      <w:marLeft w:val="0"/>
      <w:marRight w:val="0"/>
      <w:marTop w:val="0"/>
      <w:marBottom w:val="0"/>
      <w:divBdr>
        <w:top w:val="none" w:sz="0" w:space="0" w:color="auto"/>
        <w:left w:val="none" w:sz="0" w:space="0" w:color="auto"/>
        <w:bottom w:val="none" w:sz="0" w:space="0" w:color="auto"/>
        <w:right w:val="none" w:sz="0" w:space="0" w:color="auto"/>
      </w:divBdr>
    </w:div>
    <w:div w:id="972368362">
      <w:bodyDiv w:val="1"/>
      <w:marLeft w:val="0"/>
      <w:marRight w:val="0"/>
      <w:marTop w:val="0"/>
      <w:marBottom w:val="0"/>
      <w:divBdr>
        <w:top w:val="none" w:sz="0" w:space="0" w:color="auto"/>
        <w:left w:val="none" w:sz="0" w:space="0" w:color="auto"/>
        <w:bottom w:val="none" w:sz="0" w:space="0" w:color="auto"/>
        <w:right w:val="none" w:sz="0" w:space="0" w:color="auto"/>
      </w:divBdr>
    </w:div>
    <w:div w:id="211447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B2D87-7B4F-4C05-AB21-AC0FE3301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1772</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dcolbert001</dc:creator>
  <cp:keywords/>
  <dc:description/>
  <cp:lastModifiedBy>Milroy, Andy</cp:lastModifiedBy>
  <cp:revision>40</cp:revision>
  <cp:lastPrinted>2014-11-18T15:56:00Z</cp:lastPrinted>
  <dcterms:created xsi:type="dcterms:W3CDTF">2014-08-20T15:17:00Z</dcterms:created>
  <dcterms:modified xsi:type="dcterms:W3CDTF">2015-04-07T09:32:00Z</dcterms:modified>
</cp:coreProperties>
</file>